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18DF" w14:textId="5BEDBB94" w:rsidR="007E02B8" w:rsidRPr="00C72019" w:rsidRDefault="00C72019">
      <w:pPr>
        <w:rPr>
          <w:color w:val="FF0000"/>
          <w:sz w:val="28"/>
          <w:szCs w:val="28"/>
        </w:rPr>
      </w:pPr>
      <w:r w:rsidRPr="00C72019">
        <w:rPr>
          <w:rFonts w:hint="eastAsia"/>
          <w:color w:val="FF0000"/>
          <w:sz w:val="28"/>
          <w:szCs w:val="28"/>
        </w:rPr>
        <w:t>朗報！65歳未満の在職老齢年金の年金停止</w:t>
      </w:r>
      <w:r w:rsidR="00292E12">
        <w:rPr>
          <w:rFonts w:hint="eastAsia"/>
          <w:color w:val="FF0000"/>
          <w:sz w:val="28"/>
          <w:szCs w:val="28"/>
        </w:rPr>
        <w:t>基準</w:t>
      </w:r>
      <w:r w:rsidRPr="00C72019">
        <w:rPr>
          <w:rFonts w:hint="eastAsia"/>
          <w:color w:val="FF0000"/>
          <w:sz w:val="28"/>
          <w:szCs w:val="28"/>
        </w:rPr>
        <w:t>額が２８万から４７万に引き上げらました。</w:t>
      </w:r>
    </w:p>
    <w:p w14:paraId="3607C244" w14:textId="77777777" w:rsidR="00C72019" w:rsidRPr="00C72019" w:rsidRDefault="00C72019" w:rsidP="00F21A1D">
      <w:pPr>
        <w:widowControl/>
        <w:spacing w:after="300" w:line="320" w:lineRule="exact"/>
        <w:ind w:left="147" w:right="147"/>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「高齢で働くと年金が減るので損だ」「働かないほうが得だ」という話を聞いたことはありませんか？　60歳以降、働きながら老齢厚生年金を受け取る場合、給料の額に応じて年金の一部あるいは全額が支給停止される場合があります。この制度を「在職老齢年金」といいます。</w:t>
      </w:r>
      <w:r w:rsidRPr="00C72019">
        <w:rPr>
          <w:rFonts w:ascii="游ゴシック" w:eastAsia="游ゴシック" w:hAnsi="游ゴシック" w:cs="ＭＳ Ｐゴシック" w:hint="eastAsia"/>
          <w:color w:val="000000"/>
          <w:kern w:val="0"/>
          <w:sz w:val="23"/>
          <w:szCs w:val="23"/>
        </w:rPr>
        <w:br/>
        <w:t>2020年6月に成立した法改正では、この在職老齢年金が見直されました。ポイントの一つが、「60歳台前半の在職老齢年金の支給停止基準額の引き上げ」で、2022年4月に施行されます。</w:t>
      </w:r>
    </w:p>
    <w:p w14:paraId="62B46E96" w14:textId="3F036010" w:rsidR="00C72019" w:rsidRDefault="00C72019" w:rsidP="00F21A1D">
      <w:pPr>
        <w:widowControl/>
        <w:spacing w:after="300" w:line="320" w:lineRule="exact"/>
        <w:ind w:left="147" w:right="147"/>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この改正の影響を受けて、年金受給額が2年間で228万円もアップする対象者がでてくるというのだから驚きです。今回の法改正でどのように仕組みが変わるのかを分かりやすく解説いたします。</w:t>
      </w:r>
    </w:p>
    <w:p w14:paraId="52E4B27B" w14:textId="77777777" w:rsidR="00C72019" w:rsidRPr="00C72019" w:rsidRDefault="00C72019" w:rsidP="00F21A1D">
      <w:pPr>
        <w:widowControl/>
        <w:spacing w:after="300" w:line="320" w:lineRule="exact"/>
        <w:ind w:left="147" w:right="147"/>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「在職老齢年金制度」とは、年金をもらえるようになった60歳以上の老齢厚生年金受給者がその後も就労し、賃金と年金の合計額が一定以上になる場合、全部または一部の年金支給を停止する仕組みです。</w:t>
      </w:r>
    </w:p>
    <w:p w14:paraId="2A9FF200" w14:textId="77777777" w:rsidR="00C72019" w:rsidRPr="00C72019" w:rsidRDefault="00C72019" w:rsidP="00F21A1D">
      <w:pPr>
        <w:widowControl/>
        <w:spacing w:after="300" w:line="320" w:lineRule="exact"/>
        <w:ind w:left="147" w:right="147"/>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在職老齢年金は、そもそもの年金の支給停止の仕組みが「60歳台前半」と「60歳台後半」の2パターンに分かれています。</w:t>
      </w:r>
    </w:p>
    <w:p w14:paraId="5513B141" w14:textId="77777777" w:rsidR="00C72019" w:rsidRPr="00C72019" w:rsidRDefault="00C72019" w:rsidP="00F21A1D">
      <w:pPr>
        <w:widowControl/>
        <w:spacing w:after="300" w:line="320" w:lineRule="exact"/>
        <w:ind w:left="147" w:right="147"/>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現在の在職老齢年金の仕組みでは、</w:t>
      </w:r>
      <w:r w:rsidRPr="00C72019">
        <w:rPr>
          <w:rFonts w:ascii="游ゴシック" w:eastAsia="游ゴシック" w:hAnsi="游ゴシック" w:cs="ＭＳ Ｐゴシック" w:hint="eastAsia"/>
          <w:color w:val="000000"/>
          <w:kern w:val="0"/>
          <w:sz w:val="23"/>
          <w:szCs w:val="23"/>
        </w:rPr>
        <w:br/>
        <w:t>・60歳台前半…「月収」と「年金月額」の合計額が28万円を超えた場合</w:t>
      </w:r>
      <w:r w:rsidRPr="00C72019">
        <w:rPr>
          <w:rFonts w:ascii="游ゴシック" w:eastAsia="游ゴシック" w:hAnsi="游ゴシック" w:cs="ＭＳ Ｐゴシック" w:hint="eastAsia"/>
          <w:color w:val="000000"/>
          <w:kern w:val="0"/>
          <w:sz w:val="23"/>
          <w:szCs w:val="23"/>
        </w:rPr>
        <w:br/>
        <w:t>・60歳台後半…「月収」と「年金月額」の合計額が47万円を超えた場合</w:t>
      </w:r>
      <w:r w:rsidRPr="00C72019">
        <w:rPr>
          <w:rFonts w:ascii="游ゴシック" w:eastAsia="游ゴシック" w:hAnsi="游ゴシック" w:cs="ＭＳ Ｐゴシック" w:hint="eastAsia"/>
          <w:color w:val="000000"/>
          <w:kern w:val="0"/>
          <w:sz w:val="23"/>
          <w:szCs w:val="23"/>
        </w:rPr>
        <w:br/>
        <w:t>に、年金額の一部または全額が支給停止となります。</w:t>
      </w:r>
    </w:p>
    <w:p w14:paraId="4C82F0A8" w14:textId="793D748C" w:rsidR="00F21A1D" w:rsidRDefault="00C72019" w:rsidP="00F21A1D">
      <w:pPr>
        <w:widowControl/>
        <w:spacing w:after="300" w:line="320" w:lineRule="exact"/>
        <w:ind w:left="147" w:right="147"/>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今回の改正は、60歳台前半の「28万円」という基準額が、2022年4月から60歳台後半と同じ「47万円」に引き上げられるというものです。</w:t>
      </w:r>
    </w:p>
    <w:p w14:paraId="1D339C0A" w14:textId="2FE70B48" w:rsidR="00C72019" w:rsidRPr="00C72019" w:rsidRDefault="00C72019" w:rsidP="00F21A1D">
      <w:pPr>
        <w:widowControl/>
        <w:spacing w:after="300" w:line="320" w:lineRule="exact"/>
        <w:ind w:left="147" w:right="147"/>
        <w:jc w:val="left"/>
        <w:rPr>
          <w:rFonts w:ascii="游ゴシック" w:eastAsia="游ゴシック" w:hAnsi="游ゴシック" w:cs="ＭＳ Ｐゴシック"/>
          <w:b/>
          <w:bCs/>
          <w:color w:val="4D361A"/>
          <w:kern w:val="0"/>
          <w:sz w:val="24"/>
          <w:szCs w:val="24"/>
        </w:rPr>
      </w:pPr>
      <w:r w:rsidRPr="00C72019">
        <w:rPr>
          <w:rFonts w:ascii="游ゴシック" w:eastAsia="游ゴシック" w:hAnsi="游ゴシック" w:cs="ＭＳ Ｐゴシック" w:hint="eastAsia"/>
          <w:b/>
          <w:bCs/>
          <w:color w:val="4D361A"/>
          <w:kern w:val="0"/>
          <w:sz w:val="24"/>
          <w:szCs w:val="24"/>
        </w:rPr>
        <w:t>●【資料1】在職老齢年金の支給停止の基準の変更</w:t>
      </w:r>
    </w:p>
    <w:p w14:paraId="7F890B0B" w14:textId="4DA8931C" w:rsidR="00C72019" w:rsidRDefault="00F21A1D"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noProof/>
          <w:color w:val="0000FF"/>
          <w:kern w:val="0"/>
          <w:sz w:val="15"/>
          <w:szCs w:val="15"/>
        </w:rPr>
        <w:drawing>
          <wp:anchor distT="0" distB="0" distL="114300" distR="114300" simplePos="0" relativeHeight="251659264" behindDoc="0" locked="0" layoutInCell="1" allowOverlap="1" wp14:anchorId="77857AF1" wp14:editId="1E3161B1">
            <wp:simplePos x="0" y="0"/>
            <wp:positionH relativeFrom="column">
              <wp:posOffset>363771</wp:posOffset>
            </wp:positionH>
            <wp:positionV relativeFrom="paragraph">
              <wp:posOffset>12866</wp:posOffset>
            </wp:positionV>
            <wp:extent cx="5598323" cy="3395207"/>
            <wp:effectExtent l="0" t="0" r="2540" b="0"/>
            <wp:wrapNone/>
            <wp:docPr id="2" name="図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2264" cy="33975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4154F" w14:textId="4126314A" w:rsidR="00F21A1D" w:rsidRDefault="00F21A1D" w:rsidP="00C72019">
      <w:pPr>
        <w:widowControl/>
        <w:spacing w:after="300"/>
        <w:ind w:left="150" w:right="150"/>
        <w:jc w:val="left"/>
        <w:rPr>
          <w:rFonts w:ascii="游ゴシック" w:eastAsia="游ゴシック" w:hAnsi="游ゴシック" w:cs="ＭＳ Ｐゴシック"/>
          <w:color w:val="000000"/>
          <w:kern w:val="0"/>
          <w:sz w:val="23"/>
          <w:szCs w:val="23"/>
        </w:rPr>
      </w:pPr>
    </w:p>
    <w:p w14:paraId="713DBDA5" w14:textId="68A15402" w:rsidR="00F21A1D" w:rsidRDefault="00F21A1D" w:rsidP="00C72019">
      <w:pPr>
        <w:widowControl/>
        <w:spacing w:after="300"/>
        <w:ind w:left="150" w:right="150"/>
        <w:jc w:val="left"/>
        <w:rPr>
          <w:rFonts w:ascii="游ゴシック" w:eastAsia="游ゴシック" w:hAnsi="游ゴシック" w:cs="ＭＳ Ｐゴシック"/>
          <w:color w:val="000000"/>
          <w:kern w:val="0"/>
          <w:sz w:val="23"/>
          <w:szCs w:val="23"/>
        </w:rPr>
      </w:pPr>
    </w:p>
    <w:p w14:paraId="1020AE51" w14:textId="50CC07E1" w:rsidR="00F21A1D" w:rsidRDefault="00F21A1D" w:rsidP="00C72019">
      <w:pPr>
        <w:widowControl/>
        <w:spacing w:after="300"/>
        <w:ind w:left="150" w:right="150"/>
        <w:jc w:val="left"/>
        <w:rPr>
          <w:rFonts w:ascii="游ゴシック" w:eastAsia="游ゴシック" w:hAnsi="游ゴシック" w:cs="ＭＳ Ｐゴシック"/>
          <w:color w:val="000000"/>
          <w:kern w:val="0"/>
          <w:sz w:val="23"/>
          <w:szCs w:val="23"/>
        </w:rPr>
      </w:pPr>
    </w:p>
    <w:p w14:paraId="3E573441" w14:textId="327C8292" w:rsidR="00F21A1D" w:rsidRDefault="00F21A1D" w:rsidP="00C72019">
      <w:pPr>
        <w:widowControl/>
        <w:spacing w:after="300"/>
        <w:ind w:left="150" w:right="150"/>
        <w:jc w:val="left"/>
        <w:rPr>
          <w:rFonts w:ascii="游ゴシック" w:eastAsia="游ゴシック" w:hAnsi="游ゴシック" w:cs="ＭＳ Ｐゴシック"/>
          <w:color w:val="000000"/>
          <w:kern w:val="0"/>
          <w:sz w:val="23"/>
          <w:szCs w:val="23"/>
        </w:rPr>
      </w:pPr>
    </w:p>
    <w:p w14:paraId="6DA9F686" w14:textId="2C636A91" w:rsidR="00F21A1D" w:rsidRDefault="00F21A1D" w:rsidP="00C72019">
      <w:pPr>
        <w:widowControl/>
        <w:spacing w:after="300"/>
        <w:ind w:left="150" w:right="150"/>
        <w:jc w:val="left"/>
        <w:rPr>
          <w:rFonts w:ascii="游ゴシック" w:eastAsia="游ゴシック" w:hAnsi="游ゴシック" w:cs="ＭＳ Ｐゴシック"/>
          <w:color w:val="000000"/>
          <w:kern w:val="0"/>
          <w:sz w:val="23"/>
          <w:szCs w:val="23"/>
        </w:rPr>
      </w:pPr>
    </w:p>
    <w:p w14:paraId="7CFC0820" w14:textId="77777777" w:rsidR="00F21A1D" w:rsidRPr="00C72019" w:rsidRDefault="00F21A1D" w:rsidP="00C72019">
      <w:pPr>
        <w:widowControl/>
        <w:spacing w:after="300"/>
        <w:ind w:left="150" w:right="150"/>
        <w:jc w:val="left"/>
        <w:rPr>
          <w:rFonts w:ascii="游ゴシック" w:eastAsia="游ゴシック" w:hAnsi="游ゴシック" w:cs="ＭＳ Ｐゴシック" w:hint="eastAsia"/>
          <w:color w:val="000000"/>
          <w:kern w:val="0"/>
          <w:sz w:val="23"/>
          <w:szCs w:val="23"/>
        </w:rPr>
      </w:pPr>
    </w:p>
    <w:p w14:paraId="0AE04592" w14:textId="6F6B39D5" w:rsidR="00C72019" w:rsidRPr="00C72019" w:rsidRDefault="00F21A1D" w:rsidP="00C72019">
      <w:pPr>
        <w:widowControl/>
        <w:spacing w:before="450" w:after="150"/>
        <w:ind w:left="150" w:right="150"/>
        <w:jc w:val="left"/>
        <w:outlineLvl w:val="3"/>
        <w:rPr>
          <w:rFonts w:ascii="游ゴシック" w:eastAsia="游ゴシック" w:hAnsi="游ゴシック" w:cs="ＭＳ Ｐゴシック"/>
          <w:b/>
          <w:bCs/>
          <w:color w:val="4D361A"/>
          <w:kern w:val="0"/>
          <w:sz w:val="24"/>
          <w:szCs w:val="24"/>
        </w:rPr>
      </w:pPr>
      <w:r w:rsidRPr="00C72019">
        <w:rPr>
          <w:rFonts w:ascii="游ゴシック" w:eastAsia="游ゴシック" w:hAnsi="游ゴシック" w:cs="ＭＳ Ｐゴシック"/>
          <w:noProof/>
          <w:color w:val="0000FF"/>
          <w:kern w:val="0"/>
          <w:sz w:val="15"/>
          <w:szCs w:val="15"/>
        </w:rPr>
        <w:lastRenderedPageBreak/>
        <w:drawing>
          <wp:anchor distT="0" distB="0" distL="114300" distR="114300" simplePos="0" relativeHeight="251660288" behindDoc="0" locked="0" layoutInCell="1" allowOverlap="1" wp14:anchorId="39C90837" wp14:editId="1B10F970">
            <wp:simplePos x="0" y="0"/>
            <wp:positionH relativeFrom="page">
              <wp:posOffset>795130</wp:posOffset>
            </wp:positionH>
            <wp:positionV relativeFrom="paragraph">
              <wp:posOffset>305159</wp:posOffset>
            </wp:positionV>
            <wp:extent cx="6133256" cy="2775005"/>
            <wp:effectExtent l="0" t="0" r="1270" b="6350"/>
            <wp:wrapNone/>
            <wp:docPr id="5" name="図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467" cy="2780982"/>
                    </a:xfrm>
                    <a:prstGeom prst="rect">
                      <a:avLst/>
                    </a:prstGeom>
                    <a:noFill/>
                    <a:ln>
                      <a:noFill/>
                    </a:ln>
                  </pic:spPr>
                </pic:pic>
              </a:graphicData>
            </a:graphic>
            <wp14:sizeRelV relativeFrom="margin">
              <wp14:pctHeight>0</wp14:pctHeight>
            </wp14:sizeRelV>
          </wp:anchor>
        </w:drawing>
      </w:r>
      <w:r w:rsidR="00C72019" w:rsidRPr="00C72019">
        <w:rPr>
          <w:rFonts w:ascii="游ゴシック" w:eastAsia="游ゴシック" w:hAnsi="游ゴシック" w:cs="ＭＳ Ｐゴシック" w:hint="eastAsia"/>
          <w:b/>
          <w:bCs/>
          <w:color w:val="4D361A"/>
          <w:kern w:val="0"/>
          <w:sz w:val="24"/>
          <w:szCs w:val="24"/>
        </w:rPr>
        <w:t>●【資料3】60歳台前半の在職老齢年金の支給停止額の計算方法</w:t>
      </w:r>
    </w:p>
    <w:p w14:paraId="58D9AB0F" w14:textId="6366EDC4" w:rsidR="00C72019" w:rsidRDefault="00C72019" w:rsidP="00C72019">
      <w:pPr>
        <w:widowControl/>
        <w:jc w:val="left"/>
        <w:rPr>
          <w:rFonts w:ascii="游ゴシック" w:eastAsia="游ゴシック" w:hAnsi="游ゴシック" w:cs="ＭＳ Ｐゴシック"/>
          <w:color w:val="000000"/>
          <w:kern w:val="0"/>
          <w:sz w:val="15"/>
          <w:szCs w:val="15"/>
        </w:rPr>
      </w:pPr>
    </w:p>
    <w:p w14:paraId="7EBC69F1" w14:textId="3ADF0873" w:rsidR="00F21A1D" w:rsidRDefault="00F21A1D" w:rsidP="00C72019">
      <w:pPr>
        <w:widowControl/>
        <w:jc w:val="left"/>
        <w:rPr>
          <w:rFonts w:ascii="游ゴシック" w:eastAsia="游ゴシック" w:hAnsi="游ゴシック" w:cs="ＭＳ Ｐゴシック"/>
          <w:color w:val="000000"/>
          <w:kern w:val="0"/>
          <w:sz w:val="15"/>
          <w:szCs w:val="15"/>
        </w:rPr>
      </w:pPr>
    </w:p>
    <w:p w14:paraId="373609B5" w14:textId="2F1F3E5F" w:rsidR="00F21A1D" w:rsidRDefault="00F21A1D" w:rsidP="00C72019">
      <w:pPr>
        <w:widowControl/>
        <w:jc w:val="left"/>
        <w:rPr>
          <w:rFonts w:ascii="游ゴシック" w:eastAsia="游ゴシック" w:hAnsi="游ゴシック" w:cs="ＭＳ Ｐゴシック"/>
          <w:color w:val="000000"/>
          <w:kern w:val="0"/>
          <w:sz w:val="15"/>
          <w:szCs w:val="15"/>
        </w:rPr>
      </w:pPr>
    </w:p>
    <w:p w14:paraId="5CA87F47" w14:textId="4727AC8C" w:rsidR="00F21A1D" w:rsidRDefault="00F21A1D" w:rsidP="00C72019">
      <w:pPr>
        <w:widowControl/>
        <w:jc w:val="left"/>
        <w:rPr>
          <w:rFonts w:ascii="游ゴシック" w:eastAsia="游ゴシック" w:hAnsi="游ゴシック" w:cs="ＭＳ Ｐゴシック"/>
          <w:color w:val="000000"/>
          <w:kern w:val="0"/>
          <w:sz w:val="15"/>
          <w:szCs w:val="15"/>
        </w:rPr>
      </w:pPr>
    </w:p>
    <w:p w14:paraId="581343F6" w14:textId="39AB4A66" w:rsidR="00F21A1D" w:rsidRDefault="00F21A1D" w:rsidP="00C72019">
      <w:pPr>
        <w:widowControl/>
        <w:jc w:val="left"/>
        <w:rPr>
          <w:rFonts w:ascii="游ゴシック" w:eastAsia="游ゴシック" w:hAnsi="游ゴシック" w:cs="ＭＳ Ｐゴシック"/>
          <w:color w:val="000000"/>
          <w:kern w:val="0"/>
          <w:sz w:val="15"/>
          <w:szCs w:val="15"/>
        </w:rPr>
      </w:pPr>
    </w:p>
    <w:p w14:paraId="395DBF01" w14:textId="5C7564B3" w:rsidR="00F21A1D" w:rsidRDefault="00F21A1D" w:rsidP="00C72019">
      <w:pPr>
        <w:widowControl/>
        <w:jc w:val="left"/>
        <w:rPr>
          <w:rFonts w:ascii="游ゴシック" w:eastAsia="游ゴシック" w:hAnsi="游ゴシック" w:cs="ＭＳ Ｐゴシック"/>
          <w:color w:val="000000"/>
          <w:kern w:val="0"/>
          <w:sz w:val="15"/>
          <w:szCs w:val="15"/>
        </w:rPr>
      </w:pPr>
    </w:p>
    <w:p w14:paraId="1EA510FA" w14:textId="7B79257B" w:rsidR="00F21A1D" w:rsidRDefault="00F21A1D" w:rsidP="00C72019">
      <w:pPr>
        <w:widowControl/>
        <w:jc w:val="left"/>
        <w:rPr>
          <w:rFonts w:ascii="游ゴシック" w:eastAsia="游ゴシック" w:hAnsi="游ゴシック" w:cs="ＭＳ Ｐゴシック"/>
          <w:color w:val="000000"/>
          <w:kern w:val="0"/>
          <w:sz w:val="15"/>
          <w:szCs w:val="15"/>
        </w:rPr>
      </w:pPr>
    </w:p>
    <w:p w14:paraId="4FCB0FAC" w14:textId="3C250B88" w:rsidR="00F21A1D" w:rsidRDefault="00F21A1D" w:rsidP="00C72019">
      <w:pPr>
        <w:widowControl/>
        <w:jc w:val="left"/>
        <w:rPr>
          <w:rFonts w:ascii="游ゴシック" w:eastAsia="游ゴシック" w:hAnsi="游ゴシック" w:cs="ＭＳ Ｐゴシック"/>
          <w:color w:val="000000"/>
          <w:kern w:val="0"/>
          <w:sz w:val="15"/>
          <w:szCs w:val="15"/>
        </w:rPr>
      </w:pPr>
    </w:p>
    <w:p w14:paraId="74383645" w14:textId="0193A214" w:rsidR="00F21A1D" w:rsidRDefault="00F21A1D" w:rsidP="00C72019">
      <w:pPr>
        <w:widowControl/>
        <w:jc w:val="left"/>
        <w:rPr>
          <w:rFonts w:ascii="游ゴシック" w:eastAsia="游ゴシック" w:hAnsi="游ゴシック" w:cs="ＭＳ Ｐゴシック"/>
          <w:color w:val="000000"/>
          <w:kern w:val="0"/>
          <w:sz w:val="15"/>
          <w:szCs w:val="15"/>
        </w:rPr>
      </w:pPr>
    </w:p>
    <w:p w14:paraId="7467DF35" w14:textId="4FEADBF4" w:rsidR="00F21A1D" w:rsidRDefault="00F21A1D" w:rsidP="00C72019">
      <w:pPr>
        <w:widowControl/>
        <w:jc w:val="left"/>
        <w:rPr>
          <w:rFonts w:ascii="游ゴシック" w:eastAsia="游ゴシック" w:hAnsi="游ゴシック" w:cs="ＭＳ Ｐゴシック"/>
          <w:color w:val="000000"/>
          <w:kern w:val="0"/>
          <w:sz w:val="15"/>
          <w:szCs w:val="15"/>
        </w:rPr>
      </w:pPr>
    </w:p>
    <w:p w14:paraId="00050878" w14:textId="5C229B7D" w:rsidR="00F21A1D" w:rsidRDefault="00F21A1D" w:rsidP="00C72019">
      <w:pPr>
        <w:widowControl/>
        <w:jc w:val="left"/>
        <w:rPr>
          <w:rFonts w:ascii="游ゴシック" w:eastAsia="游ゴシック" w:hAnsi="游ゴシック" w:cs="ＭＳ Ｐゴシック"/>
          <w:color w:val="000000"/>
          <w:kern w:val="0"/>
          <w:sz w:val="15"/>
          <w:szCs w:val="15"/>
        </w:rPr>
      </w:pPr>
    </w:p>
    <w:p w14:paraId="36B3F795" w14:textId="2A6A785A" w:rsidR="00F21A1D" w:rsidRDefault="00F21A1D" w:rsidP="00C72019">
      <w:pPr>
        <w:widowControl/>
        <w:jc w:val="left"/>
        <w:rPr>
          <w:rFonts w:ascii="游ゴシック" w:eastAsia="游ゴシック" w:hAnsi="游ゴシック" w:cs="ＭＳ Ｐゴシック"/>
          <w:color w:val="000000"/>
          <w:kern w:val="0"/>
          <w:sz w:val="15"/>
          <w:szCs w:val="15"/>
        </w:rPr>
      </w:pPr>
    </w:p>
    <w:p w14:paraId="496082FD" w14:textId="168E0AF0" w:rsidR="00F21A1D" w:rsidRDefault="00F21A1D" w:rsidP="00C72019">
      <w:pPr>
        <w:widowControl/>
        <w:jc w:val="left"/>
        <w:rPr>
          <w:rFonts w:ascii="游ゴシック" w:eastAsia="游ゴシック" w:hAnsi="游ゴシック" w:cs="ＭＳ Ｐゴシック"/>
          <w:color w:val="000000"/>
          <w:kern w:val="0"/>
          <w:sz w:val="15"/>
          <w:szCs w:val="15"/>
        </w:rPr>
      </w:pPr>
    </w:p>
    <w:p w14:paraId="624669A9" w14:textId="36EBCC2C" w:rsidR="00F21A1D" w:rsidRDefault="00F21A1D" w:rsidP="00C72019">
      <w:pPr>
        <w:widowControl/>
        <w:jc w:val="left"/>
        <w:rPr>
          <w:rFonts w:ascii="游ゴシック" w:eastAsia="游ゴシック" w:hAnsi="游ゴシック" w:cs="ＭＳ Ｐゴシック"/>
          <w:color w:val="000000"/>
          <w:kern w:val="0"/>
          <w:sz w:val="15"/>
          <w:szCs w:val="15"/>
        </w:rPr>
      </w:pPr>
    </w:p>
    <w:p w14:paraId="1EE8540A" w14:textId="7F10944B" w:rsidR="00F21A1D" w:rsidRDefault="00F21A1D" w:rsidP="00C72019">
      <w:pPr>
        <w:widowControl/>
        <w:jc w:val="left"/>
        <w:rPr>
          <w:rFonts w:ascii="游ゴシック" w:eastAsia="游ゴシック" w:hAnsi="游ゴシック" w:cs="ＭＳ Ｐゴシック"/>
          <w:color w:val="000000"/>
          <w:kern w:val="0"/>
          <w:sz w:val="15"/>
          <w:szCs w:val="15"/>
        </w:rPr>
      </w:pPr>
    </w:p>
    <w:p w14:paraId="3A15F037" w14:textId="258B93FF" w:rsidR="00F21A1D" w:rsidRDefault="00F21A1D" w:rsidP="00C72019">
      <w:pPr>
        <w:widowControl/>
        <w:jc w:val="left"/>
        <w:rPr>
          <w:rFonts w:ascii="游ゴシック" w:eastAsia="游ゴシック" w:hAnsi="游ゴシック" w:cs="ＭＳ Ｐゴシック"/>
          <w:color w:val="000000"/>
          <w:kern w:val="0"/>
          <w:sz w:val="15"/>
          <w:szCs w:val="15"/>
        </w:rPr>
      </w:pPr>
    </w:p>
    <w:p w14:paraId="76B95B3A" w14:textId="3FEDA5C0" w:rsidR="00F21A1D" w:rsidRDefault="00F21A1D" w:rsidP="00C72019">
      <w:pPr>
        <w:widowControl/>
        <w:jc w:val="left"/>
        <w:rPr>
          <w:rFonts w:ascii="游ゴシック" w:eastAsia="游ゴシック" w:hAnsi="游ゴシック" w:cs="ＭＳ Ｐゴシック"/>
          <w:color w:val="000000"/>
          <w:kern w:val="0"/>
          <w:sz w:val="15"/>
          <w:szCs w:val="15"/>
        </w:rPr>
      </w:pPr>
    </w:p>
    <w:p w14:paraId="1AFC7CF6" w14:textId="6352A469" w:rsidR="00F21A1D" w:rsidRDefault="00F21A1D" w:rsidP="00C72019">
      <w:pPr>
        <w:widowControl/>
        <w:jc w:val="left"/>
        <w:rPr>
          <w:rFonts w:ascii="游ゴシック" w:eastAsia="游ゴシック" w:hAnsi="游ゴシック" w:cs="ＭＳ Ｐゴシック"/>
          <w:color w:val="000000"/>
          <w:kern w:val="0"/>
          <w:sz w:val="15"/>
          <w:szCs w:val="15"/>
        </w:rPr>
      </w:pPr>
    </w:p>
    <w:p w14:paraId="747A2F13" w14:textId="77777777" w:rsidR="00F21A1D" w:rsidRPr="00C72019" w:rsidRDefault="00F21A1D" w:rsidP="00C72019">
      <w:pPr>
        <w:widowControl/>
        <w:jc w:val="left"/>
        <w:rPr>
          <w:rFonts w:ascii="游ゴシック" w:eastAsia="游ゴシック" w:hAnsi="游ゴシック" w:cs="ＭＳ Ｐゴシック" w:hint="eastAsia"/>
          <w:color w:val="000000"/>
          <w:kern w:val="0"/>
          <w:sz w:val="15"/>
          <w:szCs w:val="15"/>
        </w:rPr>
      </w:pPr>
    </w:p>
    <w:p w14:paraId="3184410E" w14:textId="327FE46F" w:rsidR="00C72019" w:rsidRPr="00C72019" w:rsidRDefault="00C72019"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現在は、在職中でも月収と年金月額の合計が28万円までであれば、年金が全額支給されます。しかし、月収と年金月額の合計が28万円超になると、上の【現在】の計算式の金額分だけ、年金が停止されます。</w:t>
      </w:r>
      <w:r w:rsidRPr="00C72019">
        <w:rPr>
          <w:rFonts w:ascii="游ゴシック" w:eastAsia="游ゴシック" w:hAnsi="游ゴシック" w:cs="ＭＳ Ｐゴシック" w:hint="eastAsia"/>
          <w:color w:val="000000"/>
          <w:kern w:val="0"/>
          <w:sz w:val="23"/>
          <w:szCs w:val="23"/>
        </w:rPr>
        <w:br/>
        <w:t>それが2022年4月以降は、月収と年金月額の合計が47万円までならば、年金が停止されなくなります。</w:t>
      </w:r>
    </w:p>
    <w:p w14:paraId="39C0916D" w14:textId="77777777" w:rsidR="00C72019" w:rsidRPr="00C72019" w:rsidRDefault="00C72019"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上記の計算式をもとに、事例に当てはめて具体的な支給額を計算してみましょう。</w:t>
      </w:r>
    </w:p>
    <w:p w14:paraId="2B97C62F" w14:textId="77777777" w:rsidR="00C72019" w:rsidRPr="00C72019" w:rsidRDefault="00C72019"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【Ａ子さん［1958（昭和33）年4月生まれ（現在62歳）の女性］のケース】</w:t>
      </w:r>
      <w:r w:rsidRPr="00C72019">
        <w:rPr>
          <w:rFonts w:ascii="游ゴシック" w:eastAsia="游ゴシック" w:hAnsi="游ゴシック" w:cs="ＭＳ Ｐゴシック" w:hint="eastAsia"/>
          <w:color w:val="000000"/>
          <w:kern w:val="0"/>
          <w:sz w:val="23"/>
          <w:szCs w:val="23"/>
        </w:rPr>
        <w:br/>
        <w:t>・月給32万円・賞与なし（60歳以降変わらないものとする）</w:t>
      </w:r>
      <w:r w:rsidRPr="00C72019">
        <w:rPr>
          <w:rFonts w:ascii="游ゴシック" w:eastAsia="游ゴシック" w:hAnsi="游ゴシック" w:cs="ＭＳ Ｐゴシック" w:hint="eastAsia"/>
          <w:color w:val="000000"/>
          <w:kern w:val="0"/>
          <w:sz w:val="23"/>
          <w:szCs w:val="23"/>
        </w:rPr>
        <w:br/>
        <w:t>・本来の老齢厚生年金額は180万円（年金月額15万円）</w:t>
      </w:r>
      <w:r w:rsidRPr="00C72019">
        <w:rPr>
          <w:rFonts w:ascii="游ゴシック" w:eastAsia="游ゴシック" w:hAnsi="游ゴシック" w:cs="ＭＳ Ｐゴシック" w:hint="eastAsia"/>
          <w:color w:val="000000"/>
          <w:kern w:val="0"/>
          <w:sz w:val="23"/>
          <w:szCs w:val="23"/>
        </w:rPr>
        <w:br/>
        <w:t>①2018年4月に60歳で定年後も月給32万円で働いている。</w:t>
      </w:r>
      <w:r w:rsidRPr="00C72019">
        <w:rPr>
          <w:rFonts w:ascii="游ゴシック" w:eastAsia="游ゴシック" w:hAnsi="游ゴシック" w:cs="ＭＳ Ｐゴシック" w:hint="eastAsia"/>
          <w:color w:val="000000"/>
          <w:kern w:val="0"/>
          <w:sz w:val="23"/>
          <w:szCs w:val="23"/>
        </w:rPr>
        <w:br/>
        <w:t>②2019年4月に61歳となり、一部支給停止された特別支給の老齢厚生年金（在職老齢年金）が支給されている。</w:t>
      </w:r>
      <w:r w:rsidRPr="00C72019">
        <w:rPr>
          <w:rFonts w:ascii="游ゴシック" w:eastAsia="游ゴシック" w:hAnsi="游ゴシック" w:cs="ＭＳ Ｐゴシック" w:hint="eastAsia"/>
          <w:color w:val="000000"/>
          <w:kern w:val="0"/>
          <w:sz w:val="23"/>
          <w:szCs w:val="23"/>
        </w:rPr>
        <w:br/>
        <w:t>③2022年4月に在職老齢年金制度が改正施行される。</w:t>
      </w:r>
    </w:p>
    <w:p w14:paraId="789ACCC4" w14:textId="0A4B5645" w:rsidR="00C72019" w:rsidRPr="00C72019" w:rsidRDefault="00F21A1D"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noProof/>
          <w:color w:val="0000FF"/>
          <w:kern w:val="0"/>
          <w:sz w:val="15"/>
          <w:szCs w:val="15"/>
        </w:rPr>
        <w:drawing>
          <wp:anchor distT="0" distB="0" distL="114300" distR="114300" simplePos="0" relativeHeight="251658240" behindDoc="0" locked="0" layoutInCell="1" allowOverlap="1" wp14:anchorId="5238ECE7" wp14:editId="3DF5A12E">
            <wp:simplePos x="0" y="0"/>
            <wp:positionH relativeFrom="column">
              <wp:posOffset>69574</wp:posOffset>
            </wp:positionH>
            <wp:positionV relativeFrom="paragraph">
              <wp:posOffset>304193</wp:posOffset>
            </wp:positionV>
            <wp:extent cx="6263005" cy="2154803"/>
            <wp:effectExtent l="0" t="0" r="4445" b="0"/>
            <wp:wrapNone/>
            <wp:docPr id="6" name="図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flipV="1">
                      <a:off x="0" y="0"/>
                      <a:ext cx="6279804" cy="21605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019" w:rsidRPr="00C72019">
        <w:rPr>
          <w:rFonts w:ascii="游ゴシック" w:eastAsia="游ゴシック" w:hAnsi="游ゴシック" w:cs="ＭＳ Ｐゴシック" w:hint="eastAsia"/>
          <w:color w:val="000000"/>
          <w:kern w:val="0"/>
          <w:sz w:val="23"/>
          <w:szCs w:val="23"/>
        </w:rPr>
        <w:t>【資料4】60歳台前半の在職老齢年金：Ａ子さんの収入の推移イメージ</w:t>
      </w:r>
    </w:p>
    <w:p w14:paraId="65AE7748" w14:textId="3B520A82" w:rsidR="00C72019" w:rsidRDefault="00C72019" w:rsidP="00C72019">
      <w:pPr>
        <w:widowControl/>
        <w:jc w:val="left"/>
        <w:rPr>
          <w:rFonts w:ascii="游ゴシック" w:eastAsia="游ゴシック" w:hAnsi="游ゴシック" w:cs="ＭＳ Ｐゴシック"/>
          <w:color w:val="000000"/>
          <w:kern w:val="0"/>
          <w:sz w:val="15"/>
          <w:szCs w:val="15"/>
        </w:rPr>
      </w:pPr>
    </w:p>
    <w:p w14:paraId="5569EBC0" w14:textId="5B860C60" w:rsidR="00F21A1D" w:rsidRDefault="00F21A1D" w:rsidP="00C72019">
      <w:pPr>
        <w:widowControl/>
        <w:jc w:val="left"/>
        <w:rPr>
          <w:rFonts w:ascii="游ゴシック" w:eastAsia="游ゴシック" w:hAnsi="游ゴシック" w:cs="ＭＳ Ｐゴシック"/>
          <w:color w:val="000000"/>
          <w:kern w:val="0"/>
          <w:sz w:val="15"/>
          <w:szCs w:val="15"/>
        </w:rPr>
      </w:pPr>
    </w:p>
    <w:p w14:paraId="4095A0BB" w14:textId="47440850" w:rsidR="00F21A1D" w:rsidRDefault="00F21A1D" w:rsidP="00C72019">
      <w:pPr>
        <w:widowControl/>
        <w:jc w:val="left"/>
        <w:rPr>
          <w:rFonts w:ascii="游ゴシック" w:eastAsia="游ゴシック" w:hAnsi="游ゴシック" w:cs="ＭＳ Ｐゴシック"/>
          <w:color w:val="000000"/>
          <w:kern w:val="0"/>
          <w:sz w:val="15"/>
          <w:szCs w:val="15"/>
        </w:rPr>
      </w:pPr>
    </w:p>
    <w:p w14:paraId="17FFD1DC" w14:textId="4C22B4DF" w:rsidR="00F21A1D" w:rsidRDefault="00F21A1D" w:rsidP="00C72019">
      <w:pPr>
        <w:widowControl/>
        <w:jc w:val="left"/>
        <w:rPr>
          <w:rFonts w:ascii="游ゴシック" w:eastAsia="游ゴシック" w:hAnsi="游ゴシック" w:cs="ＭＳ Ｐゴシック"/>
          <w:color w:val="000000"/>
          <w:kern w:val="0"/>
          <w:sz w:val="15"/>
          <w:szCs w:val="15"/>
        </w:rPr>
      </w:pPr>
    </w:p>
    <w:p w14:paraId="6A81A195" w14:textId="0A20B16A" w:rsidR="00F21A1D" w:rsidRDefault="00F21A1D" w:rsidP="00C72019">
      <w:pPr>
        <w:widowControl/>
        <w:jc w:val="left"/>
        <w:rPr>
          <w:rFonts w:ascii="游ゴシック" w:eastAsia="游ゴシック" w:hAnsi="游ゴシック" w:cs="ＭＳ Ｐゴシック"/>
          <w:color w:val="000000"/>
          <w:kern w:val="0"/>
          <w:sz w:val="15"/>
          <w:szCs w:val="15"/>
        </w:rPr>
      </w:pPr>
    </w:p>
    <w:p w14:paraId="2342F2A5" w14:textId="5A637430" w:rsidR="00F21A1D" w:rsidRDefault="00F21A1D" w:rsidP="00C72019">
      <w:pPr>
        <w:widowControl/>
        <w:jc w:val="left"/>
        <w:rPr>
          <w:rFonts w:ascii="游ゴシック" w:eastAsia="游ゴシック" w:hAnsi="游ゴシック" w:cs="ＭＳ Ｐゴシック"/>
          <w:color w:val="000000"/>
          <w:kern w:val="0"/>
          <w:sz w:val="15"/>
          <w:szCs w:val="15"/>
        </w:rPr>
      </w:pPr>
    </w:p>
    <w:p w14:paraId="346D43E2" w14:textId="5ED204E6" w:rsidR="00F21A1D" w:rsidRDefault="00F21A1D" w:rsidP="00C72019">
      <w:pPr>
        <w:widowControl/>
        <w:jc w:val="left"/>
        <w:rPr>
          <w:rFonts w:ascii="游ゴシック" w:eastAsia="游ゴシック" w:hAnsi="游ゴシック" w:cs="ＭＳ Ｐゴシック"/>
          <w:color w:val="000000"/>
          <w:kern w:val="0"/>
          <w:sz w:val="15"/>
          <w:szCs w:val="15"/>
        </w:rPr>
      </w:pPr>
    </w:p>
    <w:p w14:paraId="3A12D68E" w14:textId="7FBDC7BE" w:rsidR="00F21A1D" w:rsidRDefault="00F21A1D" w:rsidP="00C72019">
      <w:pPr>
        <w:widowControl/>
        <w:jc w:val="left"/>
        <w:rPr>
          <w:rFonts w:ascii="游ゴシック" w:eastAsia="游ゴシック" w:hAnsi="游ゴシック" w:cs="ＭＳ Ｐゴシック"/>
          <w:color w:val="000000"/>
          <w:kern w:val="0"/>
          <w:sz w:val="15"/>
          <w:szCs w:val="15"/>
        </w:rPr>
      </w:pPr>
    </w:p>
    <w:p w14:paraId="2EA4D323" w14:textId="0444BD29" w:rsidR="00F21A1D" w:rsidRDefault="00F21A1D" w:rsidP="00C72019">
      <w:pPr>
        <w:widowControl/>
        <w:jc w:val="left"/>
        <w:rPr>
          <w:rFonts w:ascii="游ゴシック" w:eastAsia="游ゴシック" w:hAnsi="游ゴシック" w:cs="ＭＳ Ｐゴシック"/>
          <w:color w:val="000000"/>
          <w:kern w:val="0"/>
          <w:sz w:val="15"/>
          <w:szCs w:val="15"/>
        </w:rPr>
      </w:pPr>
    </w:p>
    <w:p w14:paraId="5C198065" w14:textId="595F8CDD" w:rsidR="00F21A1D" w:rsidRDefault="00F21A1D" w:rsidP="00C72019">
      <w:pPr>
        <w:widowControl/>
        <w:jc w:val="left"/>
        <w:rPr>
          <w:rFonts w:ascii="游ゴシック" w:eastAsia="游ゴシック" w:hAnsi="游ゴシック" w:cs="ＭＳ Ｐゴシック"/>
          <w:color w:val="000000"/>
          <w:kern w:val="0"/>
          <w:sz w:val="15"/>
          <w:szCs w:val="15"/>
        </w:rPr>
      </w:pPr>
    </w:p>
    <w:p w14:paraId="41ABE2E3" w14:textId="7A2BE7D1" w:rsidR="00F21A1D" w:rsidRDefault="00F21A1D" w:rsidP="00C72019">
      <w:pPr>
        <w:widowControl/>
        <w:jc w:val="left"/>
        <w:rPr>
          <w:rFonts w:ascii="游ゴシック" w:eastAsia="游ゴシック" w:hAnsi="游ゴシック" w:cs="ＭＳ Ｐゴシック"/>
          <w:color w:val="000000"/>
          <w:kern w:val="0"/>
          <w:sz w:val="15"/>
          <w:szCs w:val="15"/>
        </w:rPr>
      </w:pPr>
    </w:p>
    <w:p w14:paraId="01693677" w14:textId="3C5B1852" w:rsidR="00F21A1D" w:rsidRDefault="00F21A1D" w:rsidP="00C72019">
      <w:pPr>
        <w:widowControl/>
        <w:jc w:val="left"/>
        <w:rPr>
          <w:rFonts w:ascii="游ゴシック" w:eastAsia="游ゴシック" w:hAnsi="游ゴシック" w:cs="ＭＳ Ｐゴシック"/>
          <w:color w:val="000000"/>
          <w:kern w:val="0"/>
          <w:sz w:val="15"/>
          <w:szCs w:val="15"/>
        </w:rPr>
      </w:pPr>
    </w:p>
    <w:p w14:paraId="0DC0D843" w14:textId="77777777" w:rsidR="00F21A1D" w:rsidRPr="00C72019" w:rsidRDefault="00F21A1D" w:rsidP="00C72019">
      <w:pPr>
        <w:widowControl/>
        <w:jc w:val="left"/>
        <w:rPr>
          <w:rFonts w:ascii="游ゴシック" w:eastAsia="游ゴシック" w:hAnsi="游ゴシック" w:cs="ＭＳ Ｐゴシック" w:hint="eastAsia"/>
          <w:color w:val="000000"/>
          <w:kern w:val="0"/>
          <w:sz w:val="15"/>
          <w:szCs w:val="15"/>
        </w:rPr>
      </w:pPr>
    </w:p>
    <w:p w14:paraId="7122FD90" w14:textId="77777777" w:rsidR="00C72019" w:rsidRPr="00C72019" w:rsidRDefault="00C72019"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lastRenderedPageBreak/>
        <w:t>①　2018年4月～　の期間にもらえるお金</w:t>
      </w:r>
      <w:r w:rsidRPr="00C72019">
        <w:rPr>
          <w:rFonts w:ascii="游ゴシック" w:eastAsia="游ゴシック" w:hAnsi="游ゴシック" w:cs="ＭＳ Ｐゴシック" w:hint="eastAsia"/>
          <w:color w:val="000000"/>
          <w:kern w:val="0"/>
          <w:sz w:val="23"/>
          <w:szCs w:val="23"/>
        </w:rPr>
        <w:br/>
        <w:t>月収32万円　＋　年金0円/月　＝　Ａ子さんの合計収入：32万円/月</w:t>
      </w:r>
    </w:p>
    <w:p w14:paraId="6666798B" w14:textId="77777777" w:rsidR="00C72019" w:rsidRPr="00C72019" w:rsidRDefault="00C72019"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②　2019年4月～　の期間にもらえるお金（※【資料3】の「現在」参照）</w:t>
      </w:r>
      <w:r w:rsidRPr="00C72019">
        <w:rPr>
          <w:rFonts w:ascii="游ゴシック" w:eastAsia="游ゴシック" w:hAnsi="游ゴシック" w:cs="ＭＳ Ｐゴシック" w:hint="eastAsia"/>
          <w:color w:val="000000"/>
          <w:kern w:val="0"/>
          <w:sz w:val="23"/>
          <w:szCs w:val="23"/>
        </w:rPr>
        <w:br/>
        <w:t>⇒月収と年金月額の合計額が28万円を超えるので年金支給額が調整される。</w:t>
      </w:r>
      <w:r w:rsidRPr="00C72019">
        <w:rPr>
          <w:rFonts w:ascii="游ゴシック" w:eastAsia="游ゴシック" w:hAnsi="游ゴシック" w:cs="ＭＳ Ｐゴシック" w:hint="eastAsia"/>
          <w:color w:val="000000"/>
          <w:kern w:val="0"/>
          <w:sz w:val="23"/>
          <w:szCs w:val="23"/>
        </w:rPr>
        <w:br/>
        <w:t>・月収が47万円以下、年金月額が28万円以下なので、</w:t>
      </w:r>
      <w:r w:rsidRPr="00C72019">
        <w:rPr>
          <w:rFonts w:ascii="游ゴシック" w:eastAsia="游ゴシック" w:hAnsi="游ゴシック" w:cs="ＭＳ Ｐゴシック" w:hint="eastAsia"/>
          <w:color w:val="000000"/>
          <w:kern w:val="0"/>
          <w:sz w:val="23"/>
          <w:szCs w:val="23"/>
        </w:rPr>
        <w:br/>
        <w:t>【計算式①】（32万円＋15万円－28万円）÷2×12月により114万円が支給停止</w:t>
      </w:r>
      <w:r w:rsidRPr="00C72019">
        <w:rPr>
          <w:rFonts w:ascii="游ゴシック" w:eastAsia="游ゴシック" w:hAnsi="游ゴシック" w:cs="ＭＳ Ｐゴシック" w:hint="eastAsia"/>
          <w:color w:val="000000"/>
          <w:kern w:val="0"/>
          <w:sz w:val="23"/>
          <w:szCs w:val="23"/>
        </w:rPr>
        <w:br/>
        <w:t>月額9.5万円の支給停止で、年金支給額は15万円－9.5万円＝5.5万円（月額）</w:t>
      </w:r>
      <w:r w:rsidRPr="00C72019">
        <w:rPr>
          <w:rFonts w:ascii="游ゴシック" w:eastAsia="游ゴシック" w:hAnsi="游ゴシック" w:cs="ＭＳ Ｐゴシック" w:hint="eastAsia"/>
          <w:color w:val="000000"/>
          <w:kern w:val="0"/>
          <w:sz w:val="23"/>
          <w:szCs w:val="23"/>
        </w:rPr>
        <w:br/>
        <w:t>月収32万円　＋　年金5.5万円/月　＝　Ａ子さんの合計収入：37.5万円/月</w:t>
      </w:r>
    </w:p>
    <w:p w14:paraId="0451A9A2" w14:textId="77777777" w:rsidR="00C72019" w:rsidRPr="00C72019" w:rsidRDefault="00C72019"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③　2022年4月～　の期間にもらえるお金（※【資料3】の「2022年4月以降」参照）</w:t>
      </w:r>
      <w:r w:rsidRPr="00C72019">
        <w:rPr>
          <w:rFonts w:ascii="游ゴシック" w:eastAsia="游ゴシック" w:hAnsi="游ゴシック" w:cs="ＭＳ Ｐゴシック" w:hint="eastAsia"/>
          <w:color w:val="000000"/>
          <w:kern w:val="0"/>
          <w:sz w:val="23"/>
          <w:szCs w:val="23"/>
        </w:rPr>
        <w:br/>
        <w:t>⇒月収と年金月額の合計額が47万円を超えないので年金は全額支給される。</w:t>
      </w:r>
      <w:r w:rsidRPr="00C72019">
        <w:rPr>
          <w:rFonts w:ascii="游ゴシック" w:eastAsia="游ゴシック" w:hAnsi="游ゴシック" w:cs="ＭＳ Ｐゴシック" w:hint="eastAsia"/>
          <w:color w:val="000000"/>
          <w:kern w:val="0"/>
          <w:sz w:val="23"/>
          <w:szCs w:val="23"/>
        </w:rPr>
        <w:br/>
        <w:t>月収32万円　＋　年金15万円/月　＝　Ａ子さんの合計収入：47万円/月</w:t>
      </w:r>
    </w:p>
    <w:p w14:paraId="4BE5610D" w14:textId="77777777" w:rsidR="00C72019" w:rsidRPr="00C72019" w:rsidRDefault="00C72019" w:rsidP="00C72019">
      <w:pPr>
        <w:widowControl/>
        <w:spacing w:after="300"/>
        <w:ind w:left="150" w:right="150"/>
        <w:jc w:val="left"/>
        <w:rPr>
          <w:rFonts w:ascii="游ゴシック" w:eastAsia="游ゴシック" w:hAnsi="游ゴシック" w:cs="ＭＳ Ｐゴシック"/>
          <w:color w:val="000000"/>
          <w:kern w:val="0"/>
          <w:sz w:val="23"/>
          <w:szCs w:val="23"/>
        </w:rPr>
      </w:pPr>
      <w:r w:rsidRPr="00C72019">
        <w:rPr>
          <w:rFonts w:ascii="游ゴシック" w:eastAsia="游ゴシック" w:hAnsi="游ゴシック" w:cs="ＭＳ Ｐゴシック" w:hint="eastAsia"/>
          <w:color w:val="000000"/>
          <w:kern w:val="0"/>
          <w:sz w:val="23"/>
          <w:szCs w:val="23"/>
        </w:rPr>
        <w:t>Ａ子さんは2019年4月から、月額にして9.5万円が支給停止されていますが、2022年4月からは支給停止されていた9.5万円/月額が受け取れるようになります。</w:t>
      </w:r>
      <w:r w:rsidRPr="00C72019">
        <w:rPr>
          <w:rFonts w:ascii="游ゴシック" w:eastAsia="游ゴシック" w:hAnsi="游ゴシック" w:cs="ＭＳ Ｐゴシック" w:hint="eastAsia"/>
          <w:color w:val="000000"/>
          <w:kern w:val="0"/>
          <w:sz w:val="23"/>
          <w:szCs w:val="23"/>
        </w:rPr>
        <w:br/>
        <w:t>それ以降、Ａ子さんが65歳を迎えるまでの2年分（9.5万円×12ヶ月×2年）の228万円が今回の法改正の影響で今までよりも上乗せされることになります。</w:t>
      </w:r>
      <w:r w:rsidRPr="00C72019">
        <w:rPr>
          <w:rFonts w:ascii="游ゴシック" w:eastAsia="游ゴシック" w:hAnsi="游ゴシック" w:cs="ＭＳ Ｐゴシック" w:hint="eastAsia"/>
          <w:color w:val="000000"/>
          <w:kern w:val="0"/>
          <w:sz w:val="23"/>
          <w:szCs w:val="23"/>
        </w:rPr>
        <w:br/>
        <w:t>Ａ子さんは、今回の改正で、とても大きなメリットがあるケースだと言えます。</w:t>
      </w:r>
    </w:p>
    <w:p w14:paraId="068541A3" w14:textId="1DEA3952" w:rsidR="00C72019" w:rsidRPr="00C72019" w:rsidRDefault="0083572C">
      <w:pPr>
        <w:rPr>
          <w:sz w:val="28"/>
          <w:szCs w:val="28"/>
        </w:rPr>
      </w:pPr>
      <w:r>
        <w:rPr>
          <w:rFonts w:ascii="Yu Gothic Medium" w:eastAsia="Yu Gothic Medium" w:hAnsi="Yu Gothic Medium" w:hint="eastAsia"/>
          <w:color w:val="505050"/>
          <w:spacing w:val="6"/>
          <w:shd w:val="clear" w:color="auto" w:fill="FFFFFF"/>
        </w:rPr>
        <w:t>執筆／資格の大原 社会保険労務士講座</w:t>
      </w:r>
    </w:p>
    <w:sectPr w:rsidR="00C72019" w:rsidRPr="00C72019" w:rsidSect="00F21A1D">
      <w:footerReference w:type="default" r:id="rId12"/>
      <w:pgSz w:w="11910" w:h="16840" w:code="9"/>
      <w:pgMar w:top="709" w:right="1080" w:bottom="426" w:left="1080" w:header="0" w:footer="233" w:gutter="0"/>
      <w:pgNumType w:fmt="numberInDash" w:start="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8D6F" w14:textId="77777777" w:rsidR="00200A28" w:rsidRDefault="00200A28" w:rsidP="00063E0C">
      <w:r>
        <w:separator/>
      </w:r>
    </w:p>
  </w:endnote>
  <w:endnote w:type="continuationSeparator" w:id="0">
    <w:p w14:paraId="027E7977" w14:textId="77777777" w:rsidR="00200A28" w:rsidRDefault="00200A28" w:rsidP="0006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45147"/>
      <w:docPartObj>
        <w:docPartGallery w:val="Page Numbers (Bottom of Page)"/>
        <w:docPartUnique/>
      </w:docPartObj>
    </w:sdtPr>
    <w:sdtEndPr/>
    <w:sdtContent>
      <w:p w14:paraId="5EDAFC0D" w14:textId="4C86F552" w:rsidR="00063E0C" w:rsidRDefault="00063E0C">
        <w:pPr>
          <w:pStyle w:val="a5"/>
          <w:jc w:val="center"/>
        </w:pPr>
        <w:r>
          <w:fldChar w:fldCharType="begin"/>
        </w:r>
        <w:r>
          <w:instrText>PAGE   \* MERGEFORMAT</w:instrText>
        </w:r>
        <w:r>
          <w:fldChar w:fldCharType="separate"/>
        </w:r>
        <w:r>
          <w:rPr>
            <w:lang w:val="ja-JP"/>
          </w:rPr>
          <w:t>2</w:t>
        </w:r>
        <w:r>
          <w:fldChar w:fldCharType="end"/>
        </w:r>
      </w:p>
    </w:sdtContent>
  </w:sdt>
  <w:p w14:paraId="070AD231" w14:textId="77777777" w:rsidR="00063E0C" w:rsidRDefault="00063E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048A" w14:textId="77777777" w:rsidR="00200A28" w:rsidRDefault="00200A28" w:rsidP="00063E0C">
      <w:r>
        <w:separator/>
      </w:r>
    </w:p>
  </w:footnote>
  <w:footnote w:type="continuationSeparator" w:id="0">
    <w:p w14:paraId="2F71926C" w14:textId="77777777" w:rsidR="00200A28" w:rsidRDefault="00200A28" w:rsidP="0006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19"/>
    <w:rsid w:val="00063E0C"/>
    <w:rsid w:val="00200A28"/>
    <w:rsid w:val="00292E12"/>
    <w:rsid w:val="00640F14"/>
    <w:rsid w:val="00782C84"/>
    <w:rsid w:val="007E02B8"/>
    <w:rsid w:val="0083572C"/>
    <w:rsid w:val="008F7E50"/>
    <w:rsid w:val="00C72019"/>
    <w:rsid w:val="00F21A1D"/>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9DC35"/>
  <w15:chartTrackingRefBased/>
  <w15:docId w15:val="{F9BE22D4-A70B-46E7-87C1-9BEB2CB1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E0C"/>
    <w:pPr>
      <w:tabs>
        <w:tab w:val="center" w:pos="4252"/>
        <w:tab w:val="right" w:pos="8504"/>
      </w:tabs>
      <w:snapToGrid w:val="0"/>
    </w:pPr>
  </w:style>
  <w:style w:type="character" w:customStyle="1" w:styleId="a4">
    <w:name w:val="ヘッダー (文字)"/>
    <w:basedOn w:val="a0"/>
    <w:link w:val="a3"/>
    <w:uiPriority w:val="99"/>
    <w:rsid w:val="00063E0C"/>
  </w:style>
  <w:style w:type="paragraph" w:styleId="a5">
    <w:name w:val="footer"/>
    <w:basedOn w:val="a"/>
    <w:link w:val="a6"/>
    <w:uiPriority w:val="99"/>
    <w:unhideWhenUsed/>
    <w:rsid w:val="00063E0C"/>
    <w:pPr>
      <w:tabs>
        <w:tab w:val="center" w:pos="4252"/>
        <w:tab w:val="right" w:pos="8504"/>
      </w:tabs>
      <w:snapToGrid w:val="0"/>
    </w:pPr>
  </w:style>
  <w:style w:type="character" w:customStyle="1" w:styleId="a6">
    <w:name w:val="フッター (文字)"/>
    <w:basedOn w:val="a0"/>
    <w:link w:val="a5"/>
    <w:uiPriority w:val="99"/>
    <w:rsid w:val="0006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2199">
      <w:bodyDiv w:val="1"/>
      <w:marLeft w:val="0"/>
      <w:marRight w:val="0"/>
      <w:marTop w:val="0"/>
      <w:marBottom w:val="0"/>
      <w:divBdr>
        <w:top w:val="none" w:sz="0" w:space="0" w:color="auto"/>
        <w:left w:val="none" w:sz="0" w:space="0" w:color="auto"/>
        <w:bottom w:val="none" w:sz="0" w:space="0" w:color="auto"/>
        <w:right w:val="none" w:sz="0" w:space="0" w:color="auto"/>
      </w:divBdr>
      <w:divsChild>
        <w:div w:id="1866669072">
          <w:marLeft w:val="0"/>
          <w:marRight w:val="0"/>
          <w:marTop w:val="0"/>
          <w:marBottom w:val="0"/>
          <w:divBdr>
            <w:top w:val="none" w:sz="0" w:space="0" w:color="auto"/>
            <w:left w:val="none" w:sz="0" w:space="0" w:color="auto"/>
            <w:bottom w:val="none" w:sz="0" w:space="0" w:color="auto"/>
            <w:right w:val="none" w:sz="0" w:space="0" w:color="auto"/>
          </w:divBdr>
          <w:divsChild>
            <w:div w:id="2100829185">
              <w:marLeft w:val="0"/>
              <w:marRight w:val="0"/>
              <w:marTop w:val="0"/>
              <w:marBottom w:val="0"/>
              <w:divBdr>
                <w:top w:val="none" w:sz="0" w:space="0" w:color="auto"/>
                <w:left w:val="none" w:sz="0" w:space="0" w:color="auto"/>
                <w:bottom w:val="none" w:sz="0" w:space="0" w:color="auto"/>
                <w:right w:val="none" w:sz="0" w:space="0" w:color="auto"/>
              </w:divBdr>
              <w:divsChild>
                <w:div w:id="682903960">
                  <w:marLeft w:val="0"/>
                  <w:marRight w:val="0"/>
                  <w:marTop w:val="0"/>
                  <w:marBottom w:val="0"/>
                  <w:divBdr>
                    <w:top w:val="none" w:sz="0" w:space="0" w:color="auto"/>
                    <w:left w:val="none" w:sz="0" w:space="0" w:color="auto"/>
                    <w:bottom w:val="none" w:sz="0" w:space="0" w:color="auto"/>
                    <w:right w:val="none" w:sz="0" w:space="0" w:color="auto"/>
                  </w:divBdr>
                  <w:divsChild>
                    <w:div w:id="1065105143">
                      <w:marLeft w:val="0"/>
                      <w:marRight w:val="0"/>
                      <w:marTop w:val="0"/>
                      <w:marBottom w:val="0"/>
                      <w:divBdr>
                        <w:top w:val="none" w:sz="0" w:space="0" w:color="auto"/>
                        <w:left w:val="none" w:sz="0" w:space="0" w:color="auto"/>
                        <w:bottom w:val="none" w:sz="0" w:space="0" w:color="auto"/>
                        <w:right w:val="none" w:sz="0" w:space="0" w:color="auto"/>
                      </w:divBdr>
                      <w:divsChild>
                        <w:div w:id="659114531">
                          <w:marLeft w:val="0"/>
                          <w:marRight w:val="0"/>
                          <w:marTop w:val="0"/>
                          <w:marBottom w:val="0"/>
                          <w:divBdr>
                            <w:top w:val="none" w:sz="0" w:space="0" w:color="auto"/>
                            <w:left w:val="none" w:sz="0" w:space="0" w:color="auto"/>
                            <w:bottom w:val="none" w:sz="0" w:space="0" w:color="auto"/>
                            <w:right w:val="none" w:sz="0" w:space="0" w:color="auto"/>
                          </w:divBdr>
                          <w:divsChild>
                            <w:div w:id="6005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09066">
      <w:bodyDiv w:val="1"/>
      <w:marLeft w:val="0"/>
      <w:marRight w:val="0"/>
      <w:marTop w:val="0"/>
      <w:marBottom w:val="0"/>
      <w:divBdr>
        <w:top w:val="none" w:sz="0" w:space="0" w:color="auto"/>
        <w:left w:val="none" w:sz="0" w:space="0" w:color="auto"/>
        <w:bottom w:val="none" w:sz="0" w:space="0" w:color="auto"/>
        <w:right w:val="none" w:sz="0" w:space="0" w:color="auto"/>
      </w:divBdr>
      <w:divsChild>
        <w:div w:id="620768307">
          <w:marLeft w:val="0"/>
          <w:marRight w:val="0"/>
          <w:marTop w:val="0"/>
          <w:marBottom w:val="0"/>
          <w:divBdr>
            <w:top w:val="none" w:sz="0" w:space="0" w:color="auto"/>
            <w:left w:val="none" w:sz="0" w:space="0" w:color="auto"/>
            <w:bottom w:val="none" w:sz="0" w:space="0" w:color="auto"/>
            <w:right w:val="none" w:sz="0" w:space="0" w:color="auto"/>
          </w:divBdr>
          <w:divsChild>
            <w:div w:id="2007047928">
              <w:marLeft w:val="0"/>
              <w:marRight w:val="0"/>
              <w:marTop w:val="0"/>
              <w:marBottom w:val="0"/>
              <w:divBdr>
                <w:top w:val="none" w:sz="0" w:space="0" w:color="auto"/>
                <w:left w:val="none" w:sz="0" w:space="0" w:color="auto"/>
                <w:bottom w:val="none" w:sz="0" w:space="0" w:color="auto"/>
                <w:right w:val="none" w:sz="0" w:space="0" w:color="auto"/>
              </w:divBdr>
              <w:divsChild>
                <w:div w:id="1832746313">
                  <w:marLeft w:val="0"/>
                  <w:marRight w:val="0"/>
                  <w:marTop w:val="0"/>
                  <w:marBottom w:val="0"/>
                  <w:divBdr>
                    <w:top w:val="none" w:sz="0" w:space="0" w:color="auto"/>
                    <w:left w:val="none" w:sz="0" w:space="0" w:color="auto"/>
                    <w:bottom w:val="none" w:sz="0" w:space="0" w:color="auto"/>
                    <w:right w:val="none" w:sz="0" w:space="0" w:color="auto"/>
                  </w:divBdr>
                  <w:divsChild>
                    <w:div w:id="1510170453">
                      <w:marLeft w:val="0"/>
                      <w:marRight w:val="0"/>
                      <w:marTop w:val="0"/>
                      <w:marBottom w:val="0"/>
                      <w:divBdr>
                        <w:top w:val="none" w:sz="0" w:space="0" w:color="auto"/>
                        <w:left w:val="none" w:sz="0" w:space="0" w:color="auto"/>
                        <w:bottom w:val="none" w:sz="0" w:space="0" w:color="auto"/>
                        <w:right w:val="none" w:sz="0" w:space="0" w:color="auto"/>
                      </w:divBdr>
                      <w:divsChild>
                        <w:div w:id="1249926920">
                          <w:marLeft w:val="0"/>
                          <w:marRight w:val="0"/>
                          <w:marTop w:val="0"/>
                          <w:marBottom w:val="0"/>
                          <w:divBdr>
                            <w:top w:val="none" w:sz="0" w:space="0" w:color="auto"/>
                            <w:left w:val="none" w:sz="0" w:space="0" w:color="auto"/>
                            <w:bottom w:val="none" w:sz="0" w:space="0" w:color="auto"/>
                            <w:right w:val="none" w:sz="0" w:space="0" w:color="auto"/>
                          </w:divBdr>
                          <w:divsChild>
                            <w:div w:id="14136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53836">
      <w:bodyDiv w:val="1"/>
      <w:marLeft w:val="0"/>
      <w:marRight w:val="0"/>
      <w:marTop w:val="0"/>
      <w:marBottom w:val="0"/>
      <w:divBdr>
        <w:top w:val="none" w:sz="0" w:space="0" w:color="auto"/>
        <w:left w:val="none" w:sz="0" w:space="0" w:color="auto"/>
        <w:bottom w:val="none" w:sz="0" w:space="0" w:color="auto"/>
        <w:right w:val="none" w:sz="0" w:space="0" w:color="auto"/>
      </w:divBdr>
      <w:divsChild>
        <w:div w:id="1362824785">
          <w:marLeft w:val="0"/>
          <w:marRight w:val="0"/>
          <w:marTop w:val="0"/>
          <w:marBottom w:val="0"/>
          <w:divBdr>
            <w:top w:val="none" w:sz="0" w:space="0" w:color="auto"/>
            <w:left w:val="none" w:sz="0" w:space="0" w:color="auto"/>
            <w:bottom w:val="none" w:sz="0" w:space="0" w:color="auto"/>
            <w:right w:val="none" w:sz="0" w:space="0" w:color="auto"/>
          </w:divBdr>
          <w:divsChild>
            <w:div w:id="1869946771">
              <w:marLeft w:val="0"/>
              <w:marRight w:val="0"/>
              <w:marTop w:val="0"/>
              <w:marBottom w:val="0"/>
              <w:divBdr>
                <w:top w:val="none" w:sz="0" w:space="0" w:color="auto"/>
                <w:left w:val="none" w:sz="0" w:space="0" w:color="auto"/>
                <w:bottom w:val="none" w:sz="0" w:space="0" w:color="auto"/>
                <w:right w:val="none" w:sz="0" w:space="0" w:color="auto"/>
              </w:divBdr>
              <w:divsChild>
                <w:div w:id="1021011528">
                  <w:marLeft w:val="0"/>
                  <w:marRight w:val="0"/>
                  <w:marTop w:val="0"/>
                  <w:marBottom w:val="0"/>
                  <w:divBdr>
                    <w:top w:val="none" w:sz="0" w:space="0" w:color="auto"/>
                    <w:left w:val="none" w:sz="0" w:space="0" w:color="auto"/>
                    <w:bottom w:val="none" w:sz="0" w:space="0" w:color="auto"/>
                    <w:right w:val="none" w:sz="0" w:space="0" w:color="auto"/>
                  </w:divBdr>
                  <w:divsChild>
                    <w:div w:id="750397471">
                      <w:marLeft w:val="0"/>
                      <w:marRight w:val="0"/>
                      <w:marTop w:val="0"/>
                      <w:marBottom w:val="0"/>
                      <w:divBdr>
                        <w:top w:val="none" w:sz="0" w:space="0" w:color="auto"/>
                        <w:left w:val="none" w:sz="0" w:space="0" w:color="auto"/>
                        <w:bottom w:val="none" w:sz="0" w:space="0" w:color="auto"/>
                        <w:right w:val="none" w:sz="0" w:space="0" w:color="auto"/>
                      </w:divBdr>
                      <w:divsChild>
                        <w:div w:id="398282909">
                          <w:marLeft w:val="0"/>
                          <w:marRight w:val="0"/>
                          <w:marTop w:val="0"/>
                          <w:marBottom w:val="0"/>
                          <w:divBdr>
                            <w:top w:val="none" w:sz="0" w:space="0" w:color="auto"/>
                            <w:left w:val="none" w:sz="0" w:space="0" w:color="auto"/>
                            <w:bottom w:val="none" w:sz="0" w:space="0" w:color="auto"/>
                            <w:right w:val="none" w:sz="0" w:space="0" w:color="auto"/>
                          </w:divBdr>
                          <w:divsChild>
                            <w:div w:id="14492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842130">
      <w:bodyDiv w:val="1"/>
      <w:marLeft w:val="0"/>
      <w:marRight w:val="0"/>
      <w:marTop w:val="0"/>
      <w:marBottom w:val="0"/>
      <w:divBdr>
        <w:top w:val="none" w:sz="0" w:space="0" w:color="auto"/>
        <w:left w:val="none" w:sz="0" w:space="0" w:color="auto"/>
        <w:bottom w:val="none" w:sz="0" w:space="0" w:color="auto"/>
        <w:right w:val="none" w:sz="0" w:space="0" w:color="auto"/>
      </w:divBdr>
      <w:divsChild>
        <w:div w:id="2085250744">
          <w:marLeft w:val="0"/>
          <w:marRight w:val="0"/>
          <w:marTop w:val="0"/>
          <w:marBottom w:val="0"/>
          <w:divBdr>
            <w:top w:val="none" w:sz="0" w:space="0" w:color="auto"/>
            <w:left w:val="none" w:sz="0" w:space="0" w:color="auto"/>
            <w:bottom w:val="none" w:sz="0" w:space="0" w:color="auto"/>
            <w:right w:val="none" w:sz="0" w:space="0" w:color="auto"/>
          </w:divBdr>
          <w:divsChild>
            <w:div w:id="705104990">
              <w:marLeft w:val="0"/>
              <w:marRight w:val="0"/>
              <w:marTop w:val="0"/>
              <w:marBottom w:val="0"/>
              <w:divBdr>
                <w:top w:val="none" w:sz="0" w:space="0" w:color="auto"/>
                <w:left w:val="none" w:sz="0" w:space="0" w:color="auto"/>
                <w:bottom w:val="none" w:sz="0" w:space="0" w:color="auto"/>
                <w:right w:val="none" w:sz="0" w:space="0" w:color="auto"/>
              </w:divBdr>
              <w:divsChild>
                <w:div w:id="301468220">
                  <w:marLeft w:val="0"/>
                  <w:marRight w:val="0"/>
                  <w:marTop w:val="0"/>
                  <w:marBottom w:val="0"/>
                  <w:divBdr>
                    <w:top w:val="none" w:sz="0" w:space="0" w:color="auto"/>
                    <w:left w:val="none" w:sz="0" w:space="0" w:color="auto"/>
                    <w:bottom w:val="none" w:sz="0" w:space="0" w:color="auto"/>
                    <w:right w:val="none" w:sz="0" w:space="0" w:color="auto"/>
                  </w:divBdr>
                  <w:divsChild>
                    <w:div w:id="1347096187">
                      <w:marLeft w:val="0"/>
                      <w:marRight w:val="0"/>
                      <w:marTop w:val="0"/>
                      <w:marBottom w:val="0"/>
                      <w:divBdr>
                        <w:top w:val="none" w:sz="0" w:space="0" w:color="auto"/>
                        <w:left w:val="none" w:sz="0" w:space="0" w:color="auto"/>
                        <w:bottom w:val="none" w:sz="0" w:space="0" w:color="auto"/>
                        <w:right w:val="none" w:sz="0" w:space="0" w:color="auto"/>
                      </w:divBdr>
                      <w:divsChild>
                        <w:div w:id="46688789">
                          <w:marLeft w:val="0"/>
                          <w:marRight w:val="0"/>
                          <w:marTop w:val="0"/>
                          <w:marBottom w:val="0"/>
                          <w:divBdr>
                            <w:top w:val="none" w:sz="0" w:space="0" w:color="auto"/>
                            <w:left w:val="none" w:sz="0" w:space="0" w:color="auto"/>
                            <w:bottom w:val="none" w:sz="0" w:space="0" w:color="auto"/>
                            <w:right w:val="none" w:sz="0" w:space="0" w:color="auto"/>
                          </w:divBdr>
                          <w:divsChild>
                            <w:div w:id="80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m4pyqttof4cg.cloudfront.net/images/mocha/2331_3.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1m4pyqttof4cg.cloudfront.net/images/mocha/2331_1.jpg"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d1m4pyqttof4cg.cloudfront.net/images/mocha/2331_4.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2</cp:revision>
  <cp:lastPrinted>2021-08-31T23:48:00Z</cp:lastPrinted>
  <dcterms:created xsi:type="dcterms:W3CDTF">2021-09-06T05:48:00Z</dcterms:created>
  <dcterms:modified xsi:type="dcterms:W3CDTF">2021-09-06T05:48:00Z</dcterms:modified>
</cp:coreProperties>
</file>